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ROSAC0203ZPB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1"/>
          <w:iCs w:val="1"/>
          <w:smallCaps w:val="0"/>
          <w:strike w:val="0"/>
          <w:color w:val="80808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808080"/>
          <w:sz w:val="20"/>
          <w:szCs w:val="20"/>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Poiana cu narcise de la Negrași</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sidDel="00000000" w:rsidR="00000000" w:rsidRPr="00000000">
        <w:rPr>
          <w:rtl w:val="0"/>
        </w:rPr>
      </w:r>
    </w:p>
    <w:tbl>
      <w:tblPr>
        <w:tblStyle w:val="Table1"/>
        <w:tblW w:w="8980.0" w:type="dxa"/>
        <w:jc w:val="left"/>
        <w:tblInd w:w="-98.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sidDel="00000000" w:rsidR="00000000" w:rsidRPr="00000000">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sidDel="00000000" w:rsidR="00000000" w:rsidRPr="00000000">
        <w:rPr>
          <w:rtl w:val="0"/>
        </w:rPr>
      </w:r>
    </w:p>
    <w:tbl>
      <w:tblPr>
        <w:tblStyle w:val="Table4"/>
        <w:tblW w:w="8980.0" w:type="dxa"/>
        <w:jc w:val="left"/>
        <w:tblInd w:w="-98.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sidDel="00000000" w:rsidR="00000000" w:rsidRPr="00000000">
                    <w:rPr>
                      <w:rtl w:val="0"/>
                    </w:rPr>
                  </w:r>
                </w:p>
              </w:tc>
            </w:tr>
          </w:tb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b w:val="1"/>
          <w:bCs w:val="1"/>
          <w:sz w:val="22"/>
          <w:szCs w:val="22"/>
          <w:rtl w:val="0"/>
        </w:rPr>
        <w:t xml:space="preserve">2.1.</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4,65</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100,00%</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sidDel="00000000" w:rsidR="00000000" w:rsidRPr="00000000">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sidDel="00000000" w:rsidR="00000000" w:rsidRPr="00000000">
              <w:rPr>
                <w:rtl w:val="0"/>
              </w:rPr>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RO31</w:t>
            </w:r>
            <w:r w:rsidDel="00000000" w:rsidR="00000000" w:rsidRPr="00000000">
              <w:rPr>
                <w:rtl w:val="0"/>
              </w:rPr>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Sud-Muntenia</w:t>
            </w:r>
            <w:r w:rsidDel="00000000" w:rsidR="00000000" w:rsidRPr="00000000">
              <w:rPr>
                <w:rtl w:val="0"/>
              </w:rPr>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Argeș</w:t>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 </w:t>
      </w:r>
      <w:r w:rsidDel="00000000" w:rsidR="00000000" w:rsidRPr="00000000">
        <w:rPr>
          <w:rtl w:val="0"/>
        </w:rPr>
      </w:r>
    </w:p>
    <w:tbl>
      <w:tblPr>
        <w:tblStyle w:val="Table7"/>
        <w:tblW w:w="8980.000000000002" w:type="dxa"/>
        <w:jc w:val="left"/>
        <w:tblInd w:w="-98.0" w:type="dxa"/>
        <w:tblLayout w:type="fixed"/>
        <w:tblLook w:val="0400"/>
      </w:tblPr>
      <w:tblGrid>
        <w:gridCol w:w="2805"/>
        <w:gridCol w:w="236"/>
        <w:gridCol w:w="2873"/>
        <w:gridCol w:w="236"/>
        <w:gridCol w:w="2830"/>
        <w:tblGridChange w:id="0">
          <w:tblGrid>
            <w:gridCol w:w="2805"/>
            <w:gridCol w:w="236"/>
            <w:gridCol w:w="2873"/>
            <w:gridCol w:w="236"/>
            <w:gridCol w:w="2830"/>
          </w:tblGrid>
        </w:tblGridChange>
      </w:tblGrid>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r w:rsidDel="00000000" w:rsidR="00000000" w:rsidRPr="00000000">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sidDel="00000000" w:rsidR="00000000" w:rsidRPr="00000000">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sidDel="00000000" w:rsidR="00000000" w:rsidRPr="00000000">
              <w:rPr>
                <w:rtl w:val="0"/>
              </w:rPr>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4,65</w:t>
      </w: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 Rezervația naturală RONPA0120 Poiana cu Narcise de la Negraşi </w:t>
        <w:br w:type="textWrapping"/>
        <w:t xml:space="preserve">- Ordinul Ministrului Mediului şi Schimbărilor Climatice nr. 1313/2014 privind aprobarea Planului de management şi a Regulamentului sitului Natura 2000, ROSCI0203 - Poiana cu Narcise de la Negraşi</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8">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bl>
      <w:tblPr>
        <w:tblStyle w:val="Table8"/>
        <w:tblW w:w="8964.0" w:type="dxa"/>
        <w:jc w:val="left"/>
        <w:tblInd w:w="-97.00000000000001"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pajiști umede seminaturale cu ierburi înalte:</w:t>
            </w: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6440 Pajişti aluviale ale văilor râurilor din Cnidion dubii</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pajiști mezofile: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6510 Fâneţe de joasă altitudine (Alopecurus pratensis, Sanguisorba officinalis)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 și reptile: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6997</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Bufotes viridis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1261 Lacerta agilis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2469 Natrix natrix</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bookmarkStart w:colFirst="0" w:colLast="0" w:name="_heading=h.brt7oiya1rs4" w:id="0"/>
            <w:bookmarkEnd w:id="0"/>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Plante: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Narcisus poeticus ssp. Radiiflorus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Chiroptere: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7C">
            <w:pPr>
              <w:jc w:val="both"/>
              <w:rPr/>
            </w:pPr>
            <w:r w:rsidDel="00000000" w:rsidR="00000000" w:rsidRPr="00000000">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Desemnarea ca ZPB se fundamentează pe criteriul stabilit de metodologie pentru rezervații naturale.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A04.01.05 păşunatul intensiv în amestec de animale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F04.01 prădarea staţiunilor floristice (rezervaţiile floristice)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I01 Specii invazive non-native (alogene)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Regim:</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Management activ.</w:t>
            </w:r>
            <w:r w:rsidDel="00000000" w:rsidR="00000000" w:rsidRPr="00000000">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Conservarea biodiversității habitatelor desemnate ca ZPB din situl Poiana cu narcise de la Negrași prin aplicarea unor măsuri de management activ minimale și țintite, fără urmărirea unor obiective economice.</w:t>
            </w:r>
            <w:r w:rsidDel="00000000" w:rsidR="00000000" w:rsidRPr="00000000">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din ZPB (habitatele </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6440</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2"/>
                <w:szCs w:val="22"/>
                <w:u w:val="none"/>
                <w:shd w:fill="auto" w:val="clear"/>
                <w:vertAlign w:val="baseline"/>
                <w:rtl w:val="0"/>
              </w:rPr>
              <w:t xml:space="preserve">6510</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suprafețelor de pajiști și prevenirea abandonului sau conversiei către alte categorii de folosință.</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unei structuri mozaicate favorabile biodiversității.</w:t>
            </w:r>
            <w:r w:rsidDel="00000000" w:rsidR="00000000" w:rsidRPr="00000000">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Evitarea degradării habitatelor prin suprapășunat, subpășunat, compactarea solului și eroziune.</w:t>
            </w: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Limitarea utilizării substanțelor chimice și prevenirea eutrofizării habitatelor.</w:t>
            </w: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Controlul speciilor invazive și limitarea instalării vegetației lemnoase.</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O6.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Monitorizarea utilizării habitatelor și adaptarea managementului în funcție de rezultate.</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sidDel="00000000" w:rsidR="00000000" w:rsidRPr="00000000">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Fiecare suprafață de pajiște trebuie să beneficieze anual de cel puțin o activitate minimă de management extensiv (cosit, pășunat sau sistem mixt), necesară pentru menținerea habitatului deschis și evitarea instalării vegetației lemnoase.</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Cositul se realizează astfel încât speciile de interes conservativ să poată forma semințe înaintea intervenției, evitându-se cosirea „în ras” și menținându-se o înălțime de recoltare compatibilă cu regenerarea covorului vegetal.</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zonele montane și premontane, prima cosire se realizează numai după formarea semințelor la speciile de interes conservativ.</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Cosirea se realizează astfel încât să permită retragerea faunei, menținându-se anual suprafețe-refugiu necosite temporar.</w:t>
            </w: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zonele sensibile lucrările de cosit se realizează cu metode prin care se evită compactarea solului și degradarea microreliefului.</w:t>
            </w:r>
            <w:r w:rsidDel="00000000" w:rsidR="00000000" w:rsidRPr="00000000">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Pășunatul se realizează exclusiv în regim controlat și extensiv, cu adaptarea încărcăturii animale și a perioadelor de utilizare la capacitatea de suport a habitatului și la obiectivele de conservare.</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7.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Începerea pășunatului se realizează numai după instalarea creșterii active a vegetației și după retragerea excesului de umiditate din sol, pentru evitarea degradării covorului vegetal și a compactării solului.</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8.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Pășunatul se întrerupe astfel încât vegetația să dispună de timp suficient pentru refacerea masei vegetative și acumularea rezervelor înaintea sezonului rece.</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9.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Utilizarea fertilizanților chimici și a pesticidelor se realizează în conformitate cu legislația națională în domeniu. Aratul și supraînsămânțarea cu specii alohtone sunt interzise.</w:t>
            </w:r>
            <w:r w:rsidDel="00000000" w:rsidR="00000000" w:rsidRPr="00000000">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10.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Este recomandată fertilizarea organică tradițională, în cantități moderate și compatibile cu menținerea diversității floristice și a structurii habitatului.</w:t>
            </w:r>
            <w:r w:rsidDel="00000000" w:rsidR="00000000" w:rsidRPr="00000000">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11.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Târlitul se realizează controlat și cu schimbarea periodică a amplasamentelor, evitându-se apariția suprafețelor nitrofile și degradarea habitatului.</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12.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Vegetația lemnoasă invadantă se îndepărtează selectiv și periodic, menținându-se elementele cu rol ecologic, antierozional sau de refugiu pentru specii.</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13.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Speciile invazive se monitorizează și se controlează prin metode mecanice și măsuri cu impact redus asupra habitatelor naturale.</w:t>
            </w: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14.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În zonele afectate de degradări locale ale microreliefului se pot aplica măsuri cu impact redus pentru corectarea acestora și refacerea covorului vegetal cu specii caracteristice habitatului.</w:t>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15.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mențin structurile de habitat favorabile biodiversității, inclusiv tufărișurile dispersate, arborii izolați, gardurile vii și zonele de ecoton.</w:t>
            </w: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16.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Activitățile turistice și recreative se desfășoară fără afectarea habitatelor și a speciilor de interes conservativ.</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052"/>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17.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052"/>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Mohan G., Ardelean A., Georgescu M. 1993. Rezervaţii si monumente ale naturi din România </w:t>
      </w:r>
    </w:p>
    <w:p w:rsidR="00000000" w:rsidDel="00000000" w:rsidP="00000000" w:rsidRDefault="00000000" w:rsidRPr="00000000" w14:paraId="000000A2">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Formularul standard al sitului Natura 2000, ROSCI0203 - Poiana cu Narcise de la Negraşi                                                                                                                                 </w:t>
      </w:r>
    </w:p>
    <w:p w:rsidR="00000000" w:rsidDel="00000000" w:rsidP="00000000" w:rsidRDefault="00000000" w:rsidRPr="00000000" w14:paraId="000000A3">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Alexiu Valeriu 2008. The main sozological categories of the Arges County</w:t>
      </w:r>
    </w:p>
    <w:p w:rsidR="00000000" w:rsidDel="00000000" w:rsidP="00000000" w:rsidRDefault="00000000" w:rsidRPr="00000000" w14:paraId="000000A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Alexiu V., Stancu I., Chirițoiu M. 2011. Arii protejate din judeţul Argeş</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c2o6m6o9wrve"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 4 noiembrie 2024 – Pitești, 14-15 noiembrie 2024 – DS Argeș, 24 iunie 2025 – DS Argeș, 8 și 29 ianuarie 2026 - consultare Prefectura Argeș.</w:t>
      </w:r>
    </w:p>
    <w:p w:rsidR="00000000" w:rsidDel="00000000" w:rsidP="00000000" w:rsidRDefault="00000000" w:rsidRPr="00000000" w14:paraId="000000A9">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16 decembrie 2025 cu participarea factorilor interesați relevanți din județul Argeș.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sidDel="00000000" w:rsidR="00000000" w:rsidRPr="00000000">
          <w:rPr>
            <w:rFonts w:ascii="Aptos" w:cs="Aptos" w:eastAsia="Aptos" w:hAnsi="Aptos"/>
            <w:b w:val="0"/>
            <w:bCs w:val="0"/>
            <w:i w:val="0"/>
            <w:iCs w:val="0"/>
            <w:smallCaps w:val="0"/>
            <w:strike w:val="0"/>
            <w:color w:val="467886"/>
            <w:sz w:val="24"/>
            <w:szCs w:val="24"/>
            <w:u w:val="single"/>
            <w:shd w:fill="auto" w:val="clear"/>
            <w:vertAlign w:val="baseline"/>
            <w:rtl w:val="0"/>
          </w:rPr>
          <w:t xml:space="preserve">https://mmediu.ro/domenii/mediu/arii-naturale-protejate/zpb-pnrr-i-3/</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ptos"/>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0"/>
      <w:bCs w:val="0"/>
      <w:i w:val="0"/>
      <w:iCs w:val="0"/>
      <w:smallCaps w:val="0"/>
      <w:strike w:val="0"/>
      <w:color w:val="2f5496"/>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1"/>
      <w:iCs w:val="1"/>
      <w:smallCaps w:val="0"/>
      <w:strike w:val="0"/>
      <w:color w:val="2f5496"/>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0"/>
      <w:iCs w:val="0"/>
      <w:smallCaps w:val="0"/>
      <w:strike w:val="0"/>
      <w:color w:val="2f549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bCs w:val="0"/>
      <w:i w:val="1"/>
      <w:iCs w:val="1"/>
      <w:smallCaps w:val="0"/>
      <w:strike w:val="0"/>
      <w:color w:val="595959"/>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Calibri" w:cs="Calibri" w:eastAsia="Calibri" w:hAnsi="Calibri"/>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y7yAcsbKy3EpXf3tzwY3WO/5MQ==">CgMxLjAyDmguYnJ0N29peWExcnM0Mg5oLmMybzZtNm85d3J2ZTgAciExWG5ZXzNvMXRKMS15QXRtaHBPVU9CUnBVWi1ZUlpjalE=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